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At Moxie, compliance is a top priority for you and your MedSpa. Each state has its own healthcare regulations including those relating to Medical and Aesthetic practices. We’ve compiled into easy-to-follow checklists to use as an initial guide.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CALIFORNIA COMPLIANCE CHECKLIST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MSO/PC State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Moxie will set up a custom PC for you and you will enter into a business relationship with your supervising MD.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PC ownership = 49% Provider / 51% Medical Director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You will enter into a PC/MSO MSA between the PC and the LLC (below)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This is a detailed process your onboarding manager takes you through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Legal Entity:</w:t>
      </w:r>
      <w:r w:rsidDel="00000000" w:rsidR="00000000" w:rsidRPr="00000000">
        <w:rPr>
          <w:rtl w:val="0"/>
        </w:rPr>
        <w:t xml:space="preserve"> Set up your legal entity. A LLC is recommended. 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/>
        <w:ind w:left="1440" w:hanging="36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Get started here!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Create an account if you haven't yet</w:t>
      </w:r>
    </w:p>
    <w:p w:rsidR="00000000" w:rsidDel="00000000" w:rsidP="00000000" w:rsidRDefault="00000000" w:rsidRPr="00000000" w14:paraId="0000000D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Click Register a Business (first box)</w:t>
      </w:r>
    </w:p>
    <w:p w:rsidR="00000000" w:rsidDel="00000000" w:rsidP="00000000" w:rsidRDefault="00000000" w:rsidRPr="00000000" w14:paraId="0000000E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Click Articles of Incorporation - LLC</w:t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Complete the subsequent forms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</w:pPr>
      <w:r w:rsidDel="00000000" w:rsidR="00000000" w:rsidRPr="00000000">
        <w:rPr>
          <w:color w:val="37352f"/>
          <w:rtl w:val="0"/>
        </w:rPr>
        <w:t xml:space="preserve">Consult with your accountant on individual tax objectives.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Explainer Here</w:t>
        </w:r>
      </w:hyperlink>
      <w:r w:rsidDel="00000000" w:rsidR="00000000" w:rsidRPr="00000000">
        <w:rPr>
          <w:color w:val="37352f"/>
          <w:rtl w:val="0"/>
        </w:rPr>
        <w:t xml:space="preserve"> (also from other task in onboarding)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color w:val="37352f"/>
          <w:u w:val="none"/>
        </w:rPr>
      </w:pPr>
      <w:r w:rsidDel="00000000" w:rsidR="00000000" w:rsidRPr="00000000">
        <w:rPr>
          <w:color w:val="37352f"/>
          <w:rtl w:val="0"/>
        </w:rPr>
        <w:t xml:space="preserve">A DBA is required when the LLC name is different from what you plan to “do business as”. </w:t>
      </w:r>
      <w:r w:rsidDel="00000000" w:rsidR="00000000" w:rsidRPr="00000000">
        <w:rPr>
          <w:i w:val="1"/>
          <w:color w:val="37352f"/>
          <w:rtl w:val="0"/>
        </w:rPr>
        <w:t xml:space="preserve">Example: LLC “Sally’s XYZ  LLC” // DBA “Sally’s Aesthetics” </w:t>
      </w:r>
      <w:r w:rsidDel="00000000" w:rsidR="00000000" w:rsidRPr="00000000">
        <w:rPr>
          <w:b w:val="1"/>
          <w:color w:val="37352f"/>
          <w:rtl w:val="0"/>
        </w:rPr>
        <w:t xml:space="preserve">We strongly suggest to set up LLC with the name you plan to use for your business to avoid having to file a DBA.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Do not use “botox” or “moxie” or any other product names in your LLC.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Business License:</w:t>
      </w:r>
      <w:r w:rsidDel="00000000" w:rsidR="00000000" w:rsidRPr="00000000">
        <w:rPr>
          <w:rtl w:val="0"/>
        </w:rPr>
        <w:t xml:space="preserve"> Set up your local business license (county-specific) -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Get started here!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***If using Moxie’s MD and PC setup, Moxie will manage the PC setup along with statement of information and FNP.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b w:val="1"/>
          <w:color w:val="37352f"/>
        </w:rPr>
      </w:pPr>
      <w:r w:rsidDel="00000000" w:rsidR="00000000" w:rsidRPr="00000000">
        <w:rPr>
          <w:b w:val="1"/>
          <w:color w:val="37352f"/>
          <w:rtl w:val="0"/>
        </w:rPr>
        <w:t xml:space="preserve">Only applicable if you are NOT using Moxie’s MD and PC setup: Statement of Information -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quick video here</w:t>
        </w:r>
      </w:hyperlink>
      <w:r w:rsidDel="00000000" w:rsidR="00000000" w:rsidRPr="00000000">
        <w:rPr>
          <w:b w:val="1"/>
          <w:color w:val="37352f"/>
          <w:rtl w:val="0"/>
        </w:rPr>
        <w:t xml:space="preserve"> on how to get to your SOI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ind w:left="1440" w:hanging="360"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Go to this link to access your CA account</w:t>
        </w:r>
      </w:hyperlink>
      <w:r w:rsidDel="00000000" w:rsidR="00000000" w:rsidRPr="00000000">
        <w:rPr>
          <w:rtl w:val="0"/>
        </w:rPr>
        <w:t xml:space="preserve">  (should not cost anything)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Click first white box - file statement of information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Search to find your entity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Click on your entity (should be a blue box)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Click File Statement of Information in the top right bar that appears (second gray box)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Go through this full process</w:t>
      </w:r>
    </w:p>
    <w:p w:rsidR="00000000" w:rsidDel="00000000" w:rsidP="00000000" w:rsidRDefault="00000000" w:rsidRPr="00000000" w14:paraId="0000001C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Submitter Info = your information as the owner</w:t>
      </w:r>
    </w:p>
    <w:p w:rsidR="00000000" w:rsidDel="00000000" w:rsidP="00000000" w:rsidRDefault="00000000" w:rsidRPr="00000000" w14:paraId="0000001D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Entity details should populate</w:t>
      </w:r>
    </w:p>
    <w:p w:rsidR="00000000" w:rsidDel="00000000" w:rsidP="00000000" w:rsidRDefault="00000000" w:rsidRPr="00000000" w14:paraId="0000001E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Address should populate</w:t>
      </w:r>
    </w:p>
    <w:p w:rsidR="00000000" w:rsidDel="00000000" w:rsidP="00000000" w:rsidRDefault="00000000" w:rsidRPr="00000000" w14:paraId="0000001F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Officer/Director = input your information as the officer IF it's not already there. If you want additional owners or officers, you can add them here.</w:t>
      </w:r>
    </w:p>
    <w:p w:rsidR="00000000" w:rsidDel="00000000" w:rsidP="00000000" w:rsidRDefault="00000000" w:rsidRPr="00000000" w14:paraId="00000020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Choose your Registered Agent - if you want to manage it choose "individual"</w:t>
      </w:r>
    </w:p>
    <w:p w:rsidR="00000000" w:rsidDel="00000000" w:rsidP="00000000" w:rsidRDefault="00000000" w:rsidRPr="00000000" w14:paraId="00000021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Type of Business = Aesthetic Services</w:t>
      </w:r>
    </w:p>
    <w:p w:rsidR="00000000" w:rsidDel="00000000" w:rsidP="00000000" w:rsidRDefault="00000000" w:rsidRPr="00000000" w14:paraId="00000022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Following is basic info to input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DBA (only if your LLC and Medspa name will be different): </w:t>
      </w:r>
      <w:r w:rsidDel="00000000" w:rsidR="00000000" w:rsidRPr="00000000">
        <w:rPr>
          <w:rtl w:val="0"/>
        </w:rPr>
        <w:t xml:space="preserve">File for your Fictitious Business Name (DBA) under your professional corporation.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0" w:afterAutospacing="0"/>
        <w:ind w:left="144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Click here</w:t>
        </w:r>
      </w:hyperlink>
      <w:r w:rsidDel="00000000" w:rsidR="00000000" w:rsidRPr="00000000">
        <w:rPr>
          <w:rtl w:val="0"/>
        </w:rPr>
        <w:t xml:space="preserve"> to access the CalGold site which will guide you through the FBN process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Select your city or county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Enter business type for your DBA = “Nail, Hair, and Skincare” or “personal care” and click “Search”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Scroll down to where you see “Fictitious Business Name - Doing Business As Statement” From there you’ll see a link to a website on the right-hand side along with contact information for your county office.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Navigate to the permit steps provided by the website or the office that you called.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fee to complete this is ~$30.00 and many counties have an online wizard to complete the forms (differs by county).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*If the website did not work, google “DBA - [county name]” and it’ll populate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Do</w:t>
      </w:r>
      <w:r w:rsidDel="00000000" w:rsidR="00000000" w:rsidRPr="00000000">
        <w:rPr>
          <w:b w:val="1"/>
          <w:rtl w:val="0"/>
        </w:rPr>
        <w:t xml:space="preserve"> not </w:t>
      </w:r>
      <w:r w:rsidDel="00000000" w:rsidR="00000000" w:rsidRPr="00000000">
        <w:rPr>
          <w:rtl w:val="0"/>
        </w:rPr>
        <w:t xml:space="preserve">use “Aesthetics, Botox, or Moxie” in your DBA name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DBA: Publishing Notice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Some counties in California will require you to publish notice of your statement in a local newspaper.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We recommend contacting your county to check if this is a requirement and if so, please complete this per the instructions given.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FNP</w:t>
      </w:r>
      <w:r w:rsidDel="00000000" w:rsidR="00000000" w:rsidRPr="00000000">
        <w:rPr>
          <w:rtl w:val="0"/>
        </w:rPr>
        <w:t xml:space="preserve">: Have your PC owner file a Fictitious Name Permit (FNP) with the state of California. 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Moxie’s MD: If using Moxie’s MD &amp; PC setup, we’ll take care of this on your behalf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Non-Moxie MD/PC: Follow the below instructions for your PC owner to file the FNP</w:t>
      </w:r>
    </w:p>
    <w:p w:rsidR="00000000" w:rsidDel="00000000" w:rsidP="00000000" w:rsidRDefault="00000000" w:rsidRPr="00000000" w14:paraId="00000032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Click here</w:t>
        </w:r>
      </w:hyperlink>
      <w:r w:rsidDel="00000000" w:rsidR="00000000" w:rsidRPr="00000000">
        <w:rPr>
          <w:rtl w:val="0"/>
        </w:rPr>
        <w:t xml:space="preserve"> to access the online PDF form</w:t>
      </w:r>
    </w:p>
    <w:p w:rsidR="00000000" w:rsidDel="00000000" w:rsidP="00000000" w:rsidRDefault="00000000" w:rsidRPr="00000000" w14:paraId="00000033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Requires the PC owner’s SS#, license #, and signature</w:t>
      </w:r>
    </w:p>
    <w:p w:rsidR="00000000" w:rsidDel="00000000" w:rsidP="00000000" w:rsidRDefault="00000000" w:rsidRPr="00000000" w14:paraId="00000034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Requires FNP options -</w:t>
      </w:r>
      <w:hyperlink r:id="rId13">
        <w:r w:rsidDel="00000000" w:rsidR="00000000" w:rsidRPr="00000000">
          <w:rPr>
            <w:rtl w:val="0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Check what is in use here</w:t>
        </w:r>
      </w:hyperlink>
      <w:r w:rsidDel="00000000" w:rsidR="00000000" w:rsidRPr="00000000">
        <w:rPr>
          <w:color w:val="1155cc"/>
          <w:u w:val="single"/>
          <w:rtl w:val="0"/>
        </w:rPr>
        <w:t xml:space="preserve"> (change License Type to Ficticious Name Permit)</w:t>
      </w:r>
    </w:p>
    <w:p w:rsidR="00000000" w:rsidDel="00000000" w:rsidP="00000000" w:rsidRDefault="00000000" w:rsidRPr="00000000" w14:paraId="00000035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Complete sections 1,2,3,6a or 6b, and 7</w:t>
      </w:r>
    </w:p>
    <w:p w:rsidR="00000000" w:rsidDel="00000000" w:rsidP="00000000" w:rsidRDefault="00000000" w:rsidRPr="00000000" w14:paraId="00000036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Print out a copy of the PC’s Articles of Incorporation (AOI)</w:t>
      </w:r>
    </w:p>
    <w:p w:rsidR="00000000" w:rsidDel="00000000" w:rsidP="00000000" w:rsidRDefault="00000000" w:rsidRPr="00000000" w14:paraId="00000037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Include the following documents when mailing to California:</w:t>
      </w:r>
    </w:p>
    <w:p w:rsidR="00000000" w:rsidDel="00000000" w:rsidP="00000000" w:rsidRDefault="00000000" w:rsidRPr="00000000" w14:paraId="00000038">
      <w:pPr>
        <w:numPr>
          <w:ilvl w:val="3"/>
          <w:numId w:val="2"/>
        </w:numPr>
        <w:spacing w:after="0" w:afterAutospacing="0" w:before="0" w:beforeAutospacing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The completed PDF form</w:t>
      </w:r>
    </w:p>
    <w:p w:rsidR="00000000" w:rsidDel="00000000" w:rsidP="00000000" w:rsidRDefault="00000000" w:rsidRPr="00000000" w14:paraId="00000039">
      <w:pPr>
        <w:numPr>
          <w:ilvl w:val="3"/>
          <w:numId w:val="2"/>
        </w:numPr>
        <w:spacing w:after="0" w:afterAutospacing="0" w:before="0" w:beforeAutospacing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Copy of AOI</w:t>
      </w:r>
    </w:p>
    <w:p w:rsidR="00000000" w:rsidDel="00000000" w:rsidP="00000000" w:rsidRDefault="00000000" w:rsidRPr="00000000" w14:paraId="0000003A">
      <w:pPr>
        <w:numPr>
          <w:ilvl w:val="3"/>
          <w:numId w:val="2"/>
        </w:numPr>
        <w:spacing w:after="0" w:afterAutospacing="0" w:before="0" w:beforeAutospacing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Check for $70 made payable to The Medical Board of California</w:t>
      </w:r>
    </w:p>
    <w:p w:rsidR="00000000" w:rsidDel="00000000" w:rsidP="00000000" w:rsidRDefault="00000000" w:rsidRPr="00000000" w14:paraId="0000003B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 Mail all documents &amp; check to the following address: Licensing Program 2005 Evergreen Street, Suite 1200 Sacramento, CA 95815-5401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 Practice Agreement (standard): </w:t>
      </w:r>
      <w:r w:rsidDel="00000000" w:rsidR="00000000" w:rsidRPr="00000000">
        <w:rPr>
          <w:rtl w:val="0"/>
        </w:rPr>
        <w:t xml:space="preserve">If you’re a PA collaborating with an MD, you will need to sign the PA practice agreement. Moxie has a copy that you can request. Once signed by you and your MD, please file at your facility. No need to file with the state.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Insurance: </w:t>
      </w:r>
      <w:r w:rsidDel="00000000" w:rsidR="00000000" w:rsidRPr="00000000">
        <w:rPr>
          <w:rtl w:val="0"/>
        </w:rPr>
        <w:t xml:space="preserve">You are required to carry malpractice and general liability insurance (included in all Vouch policies, our preferred insurance provider). For help with your Vouch policy, contact Cierra Ramou: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cierra.ramos@vouch.us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Permitting</w:t>
      </w:r>
      <w:r w:rsidDel="00000000" w:rsidR="00000000" w:rsidRPr="00000000">
        <w:rPr>
          <w:rtl w:val="0"/>
        </w:rPr>
        <w:t xml:space="preserve">: Complying with all local and state zoning and building codes.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CalGold</w:t>
        </w:r>
      </w:hyperlink>
      <w:r w:rsidDel="00000000" w:rsidR="00000000" w:rsidRPr="00000000">
        <w:rPr>
          <w:rtl w:val="0"/>
        </w:rPr>
        <w:t xml:space="preserve"> is the best place to determine requirements for a MedSpa per county. Input your county &amp; business type = </w:t>
      </w:r>
      <w:r w:rsidDel="00000000" w:rsidR="00000000" w:rsidRPr="00000000">
        <w:rPr>
          <w:rtl w:val="0"/>
        </w:rPr>
        <w:t xml:space="preserve">“Nail, Hair, and Skincare” or “personal care” 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1"/>
          <w:rtl w:val="0"/>
        </w:rPr>
        <w:t xml:space="preserve">*inclusive of medical waste/hazardous materials, and other licensing requirements. This will need to be entered into under the PC name.</w:t>
      </w:r>
      <w:r w:rsidDel="00000000" w:rsidR="00000000" w:rsidRPr="00000000">
        <w:rPr>
          <w:rtl w:val="0"/>
        </w:rPr>
        <w:t xml:space="preserve">  Otherwise if for the LLC, enter personal care services.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OSHA: </w:t>
      </w:r>
      <w:r w:rsidDel="00000000" w:rsidR="00000000" w:rsidRPr="00000000">
        <w:rPr>
          <w:rtl w:val="0"/>
        </w:rPr>
        <w:t xml:space="preserve">There are critical requirements that every MedSpa should follow when it comes to OSHA.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b w:val="1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Understand OSHA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Comply with the seven particular OSHA standards listed</w:t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Bloodborne Pathogens</w:t>
        </w:r>
      </w:hyperlink>
      <w:r w:rsidDel="00000000" w:rsidR="00000000" w:rsidRPr="00000000">
        <w:rPr>
          <w:rtl w:val="0"/>
        </w:rPr>
        <w:t xml:space="preserve"> course Moxie recommends ($10 and valid for one year)</w:t>
      </w:r>
    </w:p>
    <w:p w:rsidR="00000000" w:rsidDel="00000000" w:rsidP="00000000" w:rsidRDefault="00000000" w:rsidRPr="00000000" w14:paraId="0000004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you have employees: Print out the</w:t>
      </w:r>
      <w:hyperlink r:id="rId19">
        <w:r w:rsidDel="00000000" w:rsidR="00000000" w:rsidRPr="00000000">
          <w:rPr>
            <w:rtl w:val="0"/>
          </w:rPr>
          <w:t xml:space="preserve"> </w:t>
        </w:r>
      </w:hyperlink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OSHA job safety and health poster</w:t>
        </w:r>
      </w:hyperlink>
      <w:r w:rsidDel="00000000" w:rsidR="00000000" w:rsidRPr="00000000">
        <w:rPr>
          <w:rtl w:val="0"/>
        </w:rPr>
        <w:t xml:space="preserve"> for your MedSpa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Physical Signage: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Make sure a copy of your business license is posted in your MedSpa (we recommend in a hall on the way to the treatment room or where other notices are posted)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Healthy workplaces/healthy families act -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required CA labor poster for your MedSpa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recommend posting your Medical Director’s information in your MedSpa: Name, License Type (MD), License #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If you have employees: </w:t>
      </w:r>
    </w:p>
    <w:p w:rsidR="00000000" w:rsidDel="00000000" w:rsidP="00000000" w:rsidRDefault="00000000" w:rsidRPr="00000000" w14:paraId="00000049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Print out the</w:t>
      </w:r>
      <w:hyperlink r:id="rId22">
        <w:r w:rsidDel="00000000" w:rsidR="00000000" w:rsidRPr="00000000">
          <w:rPr>
            <w:rtl w:val="0"/>
          </w:rPr>
          <w:t xml:space="preserve"> </w:t>
        </w:r>
      </w:hyperlink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CA labor law poster state and federal combo</w:t>
        </w:r>
      </w:hyperlink>
      <w:r w:rsidDel="00000000" w:rsidR="00000000" w:rsidRPr="00000000">
        <w:rPr>
          <w:rtl w:val="0"/>
        </w:rPr>
        <w:t xml:space="preserve"> for employee and customer visibility </w:t>
      </w:r>
      <w:r w:rsidDel="00000000" w:rsidR="00000000" w:rsidRPr="00000000">
        <w:rPr>
          <w:rtl w:val="0"/>
        </w:rPr>
        <w:t xml:space="preserve">and hang in the breakroom</w:t>
      </w:r>
    </w:p>
    <w:p w:rsidR="00000000" w:rsidDel="00000000" w:rsidP="00000000" w:rsidRDefault="00000000" w:rsidRPr="00000000" w14:paraId="0000004A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u w:val="none"/>
        </w:rPr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Workplace Postings to print and post in your MedSpa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you have</w:t>
      </w:r>
      <w:r w:rsidDel="00000000" w:rsidR="00000000" w:rsidRPr="00000000">
        <w:rPr>
          <w:b w:val="1"/>
          <w:rtl w:val="0"/>
        </w:rPr>
        <w:t xml:space="preserve"> hourly</w:t>
      </w:r>
      <w:r w:rsidDel="00000000" w:rsidR="00000000" w:rsidRPr="00000000">
        <w:rPr>
          <w:rtl w:val="0"/>
        </w:rPr>
        <w:t xml:space="preserve"> employees: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This notice</w:t>
        </w:r>
      </w:hyperlink>
      <w:r w:rsidDel="00000000" w:rsidR="00000000" w:rsidRPr="00000000">
        <w:rPr>
          <w:rtl w:val="0"/>
        </w:rPr>
        <w:t xml:space="preserve"> to employee needs to be completed for each hourly employee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Post a</w:t>
      </w:r>
      <w:hyperlink r:id="rId26">
        <w:r w:rsidDel="00000000" w:rsidR="00000000" w:rsidRPr="00000000">
          <w:rPr>
            <w:rtl w:val="0"/>
          </w:rPr>
          <w:t xml:space="preserve"> </w:t>
        </w:r>
      </w:hyperlink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discrimination law sign</w:t>
        </w:r>
      </w:hyperlink>
      <w:r w:rsidDel="00000000" w:rsidR="00000000" w:rsidRPr="00000000">
        <w:rPr>
          <w:rtl w:val="0"/>
        </w:rPr>
        <w:t xml:space="preserve"> within your MedSpa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 requires warnings regarding possible chemical exposure to be posted in businesses that have 10+ employees pursuant to</w:t>
      </w:r>
      <w:hyperlink r:id="rId28">
        <w:r w:rsidDel="00000000" w:rsidR="00000000" w:rsidRPr="00000000">
          <w:rPr>
            <w:rtl w:val="0"/>
          </w:rPr>
          <w:t xml:space="preserve"> </w:t>
        </w:r>
      </w:hyperlink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Prop 65</w:t>
        </w:r>
      </w:hyperlink>
      <w:r w:rsidDel="00000000" w:rsidR="00000000" w:rsidRPr="00000000">
        <w:rPr>
          <w:rtl w:val="0"/>
        </w:rPr>
        <w:t xml:space="preserve">. Several companies sell</w:t>
      </w: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 compliant signs online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Print out and post the </w:t>
      </w: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MD Notice Poster </w:t>
        </w:r>
      </w:hyperlink>
      <w:r w:rsidDel="00000000" w:rsidR="00000000" w:rsidRPr="00000000">
        <w:rPr>
          <w:rtl w:val="0"/>
        </w:rPr>
        <w:t xml:space="preserve">inside your MedSpa. This is required by CA law as of 1/1/2023.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Ensure that every patient signs the “</w:t>
      </w:r>
      <w:r w:rsidDel="00000000" w:rsidR="00000000" w:rsidRPr="00000000">
        <w:rPr>
          <w:i w:val="1"/>
          <w:rtl w:val="0"/>
        </w:rPr>
        <w:t xml:space="preserve">MD notice and acknowledgments of receipt and understanding</w:t>
      </w:r>
      <w:r w:rsidDel="00000000" w:rsidR="00000000" w:rsidRPr="00000000">
        <w:rPr>
          <w:rtl w:val="0"/>
        </w:rPr>
        <w:t xml:space="preserve"> “. </w:t>
      </w: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Example Here.</w:t>
        </w:r>
      </w:hyperlink>
      <w:r w:rsidDel="00000000" w:rsidR="00000000" w:rsidRPr="00000000">
        <w:rPr>
          <w:rtl w:val="0"/>
        </w:rPr>
        <w:t xml:space="preserve"> This is required by CA law as of 1/1/2023.   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color w:val="37352f"/>
          <w:rtl w:val="0"/>
        </w:rPr>
        <w:t xml:space="preserve">California Workplace Violence Prevention Plan (only if you have employees):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Moxie has purchased a comprehensive suite of documents drafted by a top-notch California employment firm, Ogletree Deakins, (a $1,000 value) to address the new California Workforce requirements affecting those with employees.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hd w:fill="ffffff" w:val="clear"/>
        <w:spacing w:after="0" w:afterAutospacing="0" w:before="0" w:beforeAutospacing="0" w:lineRule="auto"/>
        <w:ind w:left="1440" w:hanging="360"/>
        <w:rPr>
          <w:color w:val="222222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Background: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On September 30, 2023, Governor Gavin Newsom signed Senate Bill No. 553 into law. This bill mandates that virtually every California employer must implement a workplace violence prevention plan with specific requirements.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hd w:fill="ffffff" w:val="clear"/>
        <w:spacing w:after="0" w:afterAutospacing="0" w:before="0" w:beforeAutospacing="0" w:lineRule="auto"/>
        <w:ind w:left="1440" w:hanging="360"/>
        <w:rPr>
          <w:color w:val="222222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Effective Date: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The new requirements take effect on July 1, 2024.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hd w:fill="ffffff" w:val="clear"/>
        <w:spacing w:after="0" w:afterAutospacing="0" w:before="0" w:beforeAutospacing="0" w:lineRule="auto"/>
        <w:ind w:left="1440" w:hanging="360"/>
        <w:rPr>
          <w:color w:val="222222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Cal/OSHA Focus: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Cal/OSHA is expected to actively enforce workplace violence prevention measures.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shd w:fill="ffffff" w:val="clear"/>
        <w:spacing w:after="0" w:afterAutospacing="0" w:before="0" w:beforeAutospacing="0" w:lineRule="auto"/>
        <w:ind w:left="1440" w:hanging="360"/>
        <w:rPr>
          <w:color w:val="222222"/>
        </w:rPr>
      </w:pPr>
      <w:hyperlink r:id="rId33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Linked Resources</w:t>
        </w:r>
      </w:hyperlink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: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We have linked sample templates and a training deck to assist your locations with employees in preparing to meet the new law’s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color w:val="37352f"/>
          <w:rtl w:val="0"/>
        </w:rPr>
        <w:t xml:space="preserve">Marketing &amp; Advertising Guidance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Do not have any needles in any of your pictures. The </w:t>
      </w:r>
      <w:r w:rsidDel="00000000" w:rsidR="00000000" w:rsidRPr="00000000">
        <w:rPr>
          <w:color w:val="37352f"/>
          <w:rtl w:val="0"/>
        </w:rPr>
        <w:t xml:space="preserve">Meta</w:t>
      </w:r>
      <w:r w:rsidDel="00000000" w:rsidR="00000000" w:rsidRPr="00000000">
        <w:rPr>
          <w:color w:val="37352f"/>
          <w:rtl w:val="0"/>
        </w:rPr>
        <w:t xml:space="preserve"> (owner of Facebook &amp; Instagram) algorithm does not allow them  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Never </w:t>
      </w:r>
      <w:r w:rsidDel="00000000" w:rsidR="00000000" w:rsidRPr="00000000">
        <w:rPr>
          <w:color w:val="37352f"/>
          <w:rtl w:val="0"/>
        </w:rPr>
        <w:t xml:space="preserve">‘boost’</w:t>
      </w:r>
      <w:r w:rsidDel="00000000" w:rsidR="00000000" w:rsidRPr="00000000">
        <w:rPr>
          <w:color w:val="37352f"/>
          <w:rtl w:val="0"/>
        </w:rPr>
        <w:t xml:space="preserve"> any images with needles, pharmaceutical products (inclusive of vials of Tox, botox, filler..), and before and afters 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Be sure to have signed photo waivers that allow you to use patient pictures for marketing that includes language around the patient waiving privacy.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Videos on websites must have closed captioning capability for ADA compliance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cannot be false or misleading. Ads that use models must say it’s a model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that use before or after photos must specify the treatment provided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California Official &amp; Governmental Resources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Medical Board of California </w:t>
      </w: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color w:val="37352f"/>
          <w:rtl w:val="0"/>
        </w:rPr>
        <w:t xml:space="preserve">Nursing Board of California </w:t>
      </w: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color w:val="37352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color w:val="37352f"/>
          <w:rtl w:val="0"/>
        </w:rPr>
        <w:t xml:space="preserve">CA County Requirements: </w:t>
      </w: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color w:val="37352f"/>
          <w:rtl w:val="0"/>
        </w:rPr>
        <w:t xml:space="preserve"> 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color w:val="37352f"/>
          <w:u w:val="none"/>
        </w:rPr>
      </w:pPr>
      <w:r w:rsidDel="00000000" w:rsidR="00000000" w:rsidRPr="00000000">
        <w:rPr>
          <w:b w:val="1"/>
          <w:color w:val="37352f"/>
          <w:rtl w:val="0"/>
        </w:rPr>
        <w:t xml:space="preserve">Workplace Violence Policy:</w:t>
      </w:r>
      <w:r w:rsidDel="00000000" w:rsidR="00000000" w:rsidRPr="00000000">
        <w:rPr>
          <w:color w:val="37352f"/>
          <w:rtl w:val="0"/>
        </w:rPr>
        <w:t xml:space="preserve"> This will require a written plan and interactive training to prevent and respond to on-the-job threads of violence. Moxie has templates for your use. If you’re in Onboarding, you’ll see a full task on it. If launched, please request these from your PSM.</w:t>
      </w:r>
    </w:p>
    <w:p w:rsidR="00000000" w:rsidDel="00000000" w:rsidP="00000000" w:rsidRDefault="00000000" w:rsidRPr="00000000" w14:paraId="00000061">
      <w:pPr>
        <w:spacing w:after="240" w:before="24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1440" w:firstLine="0"/>
        <w:rPr/>
      </w:pPr>
      <w:r w:rsidDel="00000000" w:rsidR="00000000" w:rsidRPr="00000000">
        <w:rPr>
          <w:rtl w:val="0"/>
        </w:rPr>
      </w:r>
    </w:p>
    <w:sectPr>
      <w:headerReference r:id="rId37" w:type="default"/>
      <w:headerReference r:id="rId38" w:type="first"/>
      <w:footerReference r:id="rId3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jc w:val="center"/>
      <w:rPr/>
    </w:pPr>
    <w:r w:rsidDel="00000000" w:rsidR="00000000" w:rsidRPr="00000000">
      <w:rPr/>
      <w:drawing>
        <wp:inline distB="19050" distT="19050" distL="19050" distR="19050">
          <wp:extent cx="1471272" cy="5953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272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osha.gov/sites/default/files/osha3165-8514.pdf" TargetMode="External"/><Relationship Id="rId22" Type="http://schemas.openxmlformats.org/officeDocument/2006/relationships/hyperlink" Target="https://www.laborlawcc.com/california-labor-law-posters-state-and-federal-combo/" TargetMode="External"/><Relationship Id="rId21" Type="http://schemas.openxmlformats.org/officeDocument/2006/relationships/hyperlink" Target="https://www.dir.ca.gov/dlse/publications/paid_sick_days_poster_template_(11_2014).pdf" TargetMode="External"/><Relationship Id="rId24" Type="http://schemas.openxmlformats.org/officeDocument/2006/relationships/hyperlink" Target="https://www.dir.ca.gov/wpnodb.html" TargetMode="External"/><Relationship Id="rId23" Type="http://schemas.openxmlformats.org/officeDocument/2006/relationships/hyperlink" Target="https://www.laborlawcc.com/california-labor-law-posters-state-and-federal-comb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oom.com/share/283db351ae13415ea61df20221aef90c?focus_title=1&amp;muted=1&amp;from_recorder=1" TargetMode="External"/><Relationship Id="rId26" Type="http://schemas.openxmlformats.org/officeDocument/2006/relationships/hyperlink" Target="https://calcivilrights.ca.gov/wp-content/uploads/sites/32/2017/06/DFEH_WorkPlaceDiscriminationHarassmentPoster.pdf" TargetMode="External"/><Relationship Id="rId25" Type="http://schemas.openxmlformats.org/officeDocument/2006/relationships/hyperlink" Target="https://www.dir.ca.gov/dlse/lc_2810.5_notice.pdf" TargetMode="External"/><Relationship Id="rId28" Type="http://schemas.openxmlformats.org/officeDocument/2006/relationships/hyperlink" Target="https://www.p65warnings.ca.gov/businesses/frequently-asked-questions-businesses" TargetMode="External"/><Relationship Id="rId27" Type="http://schemas.openxmlformats.org/officeDocument/2006/relationships/hyperlink" Target="https://calcivilrights.ca.gov/wp-content/uploads/sites/32/2017/06/DFEH_WorkPlaceDiscriminationHarassmentPoster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bizfileonline.sos.ca.gov/" TargetMode="External"/><Relationship Id="rId29" Type="http://schemas.openxmlformats.org/officeDocument/2006/relationships/hyperlink" Target="https://www.p65warnings.ca.gov/businesses/frequently-asked-questions-businesses" TargetMode="External"/><Relationship Id="rId7" Type="http://schemas.openxmlformats.org/officeDocument/2006/relationships/hyperlink" Target="https://docs.google.com/document/d/1GaOE3_-wK0flVpx8A3U-zPRplX1e3Jdhx-ZHIoj2MXk/edit" TargetMode="External"/><Relationship Id="rId8" Type="http://schemas.openxmlformats.org/officeDocument/2006/relationships/hyperlink" Target="https://bizfileonline.sos.ca.gov/" TargetMode="External"/><Relationship Id="rId31" Type="http://schemas.openxmlformats.org/officeDocument/2006/relationships/hyperlink" Target="https://mbc.ca.gov/Download/Documents/SampleSign-PhysicianSurgeon.pdf" TargetMode="External"/><Relationship Id="rId30" Type="http://schemas.openxmlformats.org/officeDocument/2006/relationships/hyperlink" Target="https://www.mysafetysign.com/chemical-hazard-signs" TargetMode="External"/><Relationship Id="rId11" Type="http://schemas.openxmlformats.org/officeDocument/2006/relationships/hyperlink" Target="https://www.calgold.ca.gov/" TargetMode="External"/><Relationship Id="rId33" Type="http://schemas.openxmlformats.org/officeDocument/2006/relationships/hyperlink" Target="https://drive.google.com/drive/u/1/folders/1z37qs2Vk3qy-qQENKKV3fLL9Zq-m-V2F" TargetMode="External"/><Relationship Id="rId10" Type="http://schemas.openxmlformats.org/officeDocument/2006/relationships/hyperlink" Target="https://bizfileonline.sos.ca.gov/" TargetMode="External"/><Relationship Id="rId32" Type="http://schemas.openxmlformats.org/officeDocument/2006/relationships/hyperlink" Target="https://mbc.ca.gov/Download/Documents/SampleNotice-AcknowledgementOfReceipt-PhysicianSurgeon.pdf" TargetMode="External"/><Relationship Id="rId13" Type="http://schemas.openxmlformats.org/officeDocument/2006/relationships/hyperlink" Target="https://www.mbc.ca.gov/Licensing/Fictitious-Name-Permit/" TargetMode="External"/><Relationship Id="rId35" Type="http://schemas.openxmlformats.org/officeDocument/2006/relationships/hyperlink" Target="https://www.rn.ca.gov/" TargetMode="External"/><Relationship Id="rId12" Type="http://schemas.openxmlformats.org/officeDocument/2006/relationships/hyperlink" Target="https://www.mbc.ca.gov/Download/Forms/fnp-001.pdf" TargetMode="External"/><Relationship Id="rId34" Type="http://schemas.openxmlformats.org/officeDocument/2006/relationships/hyperlink" Target="https://www.mbc.ca.gov/" TargetMode="External"/><Relationship Id="rId15" Type="http://schemas.openxmlformats.org/officeDocument/2006/relationships/hyperlink" Target="mailto:cierra.ramos@vouch.us" TargetMode="External"/><Relationship Id="rId37" Type="http://schemas.openxmlformats.org/officeDocument/2006/relationships/header" Target="header1.xml"/><Relationship Id="rId14" Type="http://schemas.openxmlformats.org/officeDocument/2006/relationships/hyperlink" Target="https://www.mbc.ca.gov/Licensing/Fictitious-Name-Permit/" TargetMode="External"/><Relationship Id="rId36" Type="http://schemas.openxmlformats.org/officeDocument/2006/relationships/hyperlink" Target="https://www.calgold.ca.gov/" TargetMode="External"/><Relationship Id="rId17" Type="http://schemas.openxmlformats.org/officeDocument/2006/relationships/hyperlink" Target="https://americanmedspa.org/blog/osha-what-you-dont-know-can-hurt-you" TargetMode="External"/><Relationship Id="rId39" Type="http://schemas.openxmlformats.org/officeDocument/2006/relationships/footer" Target="footer1.xml"/><Relationship Id="rId16" Type="http://schemas.openxmlformats.org/officeDocument/2006/relationships/hyperlink" Target="https://www.calgold.ca.gov/" TargetMode="External"/><Relationship Id="rId38" Type="http://schemas.openxmlformats.org/officeDocument/2006/relationships/header" Target="header2.xml"/><Relationship Id="rId19" Type="http://schemas.openxmlformats.org/officeDocument/2006/relationships/hyperlink" Target="https://www.osha.gov/sites/default/files/osha3165-8514.pdf" TargetMode="External"/><Relationship Id="rId18" Type="http://schemas.openxmlformats.org/officeDocument/2006/relationships/hyperlink" Target="https://www.cpr.io/courses/bloodborne-pathogens/?gad_source=1&amp;gclid=CjwKCAiA1MCrBhAoEiwAC2d64d1qfY6Inb0vEp9QJdbcODCmgG1wGaCfGQ1uqwBUJwmuk83gp7Ge9RoCXxAQAvD_BwE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