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INDIANA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Indiana is a non-mso state meaning you can own your own medical spa. Still requires a medical director.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Indiana.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 or Personal Care”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Scroll down to “Register Now”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than your legal entity name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Complete the online filing process: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LLC Name = your MSO name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rtl w:val="0"/>
        </w:rPr>
        <w:t xml:space="preserve">For prescriptive delegation purposes, you will need to file an application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With that application, you can also submit your collaboration agreement (see below). Or you can email it separately.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3"/>
        </w:numPr>
        <w:spacing w:after="0" w:afterAutospacing="0" w:before="0" w:beforeAutospacing="0" w:lineRule="auto"/>
        <w:ind w:left="288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Collaboration Cover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Sample Collaborative Agreement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/>
      </w:pPr>
      <w:r w:rsidDel="00000000" w:rsidR="00000000" w:rsidRPr="00000000">
        <w:rPr>
          <w:rtl w:val="0"/>
        </w:rPr>
        <w:t xml:space="preserve">Can be emailed to: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shd w:fill="fefefe" w:val="clear"/>
          <w:rtl w:val="0"/>
        </w:rPr>
        <w:t xml:space="preserve">pla2@pla.in.gov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No special agreement, only facility agreement addition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RNs: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Collaboration Agreement Checklist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if RN is collaborating with NP (NP is supervisor)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IN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Indiana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Indiana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Indiana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.gov/pla/professions/nursing-home/nursing-board/" TargetMode="External"/><Relationship Id="rId11" Type="http://schemas.openxmlformats.org/officeDocument/2006/relationships/hyperlink" Target="https://www.in.gov/pla/files/CPA-Checklist.pdf" TargetMode="External"/><Relationship Id="rId22" Type="http://schemas.openxmlformats.org/officeDocument/2006/relationships/header" Target="header2.xml"/><Relationship Id="rId10" Type="http://schemas.openxmlformats.org/officeDocument/2006/relationships/hyperlink" Target="https://www.in.gov/pla/files/Collaborative-Agreement-Sample.pdf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americanmedspa.org/blog/osha-what-you-dont-know-can-hurt-you" TargetMode="External"/><Relationship Id="rId12" Type="http://schemas.openxmlformats.org/officeDocument/2006/relationships/hyperlink" Target="mailto:cierra.ramos@vouch.us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.gov/pla/files/CPA-Coversheet.pdf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7" Type="http://schemas.openxmlformats.org/officeDocument/2006/relationships/hyperlink" Target="https://www.laborlawcc.com/indiana-state-and-federal-poster-set/" TargetMode="External"/><Relationship Id="rId16" Type="http://schemas.openxmlformats.org/officeDocument/2006/relationships/hyperlink" Target="https://www.osha.gov/sites/default/files/osha3165-8514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.gov/pla/professions/medical-physicians-and-osteopathic-physicians-home/medical-board/" TargetMode="External"/><Relationship Id="rId6" Type="http://schemas.openxmlformats.org/officeDocument/2006/relationships/hyperlink" Target="https://inbiz.in.gov/business-filings/" TargetMode="External"/><Relationship Id="rId18" Type="http://schemas.openxmlformats.org/officeDocument/2006/relationships/hyperlink" Target="https://www.dol.gov/sites/dolgov/files/OFCCP/regs/compliance/posters/pdf/22-088_EEOC_KnowYourRights.pdf" TargetMode="External"/><Relationship Id="rId7" Type="http://schemas.openxmlformats.org/officeDocument/2006/relationships/hyperlink" Target="https://apps.azsos.gov/Business_Services/tnt_name_availability_instructions.htm" TargetMode="External"/><Relationship Id="rId8" Type="http://schemas.openxmlformats.org/officeDocument/2006/relationships/hyperlink" Target="https://mylicense.in.gov/eGov/index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