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KENTUCKY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MSO: </w:t>
      </w:r>
      <w:r w:rsidDel="00000000" w:rsidR="00000000" w:rsidRPr="00000000">
        <w:rPr>
          <w:rtl w:val="0"/>
        </w:rPr>
        <w:t xml:space="preserve">MSO/PC structure required. Please talk to your onboarding manager about Moxie Medical Hub 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LLC is the most common in Kentucky. 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This is because this entity will be acting as a non-healthcare manager of the PC. Consult with your accountant on individual tax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color w:val="37352f"/>
        </w:rPr>
      </w:pPr>
      <w:r w:rsidDel="00000000" w:rsidR="00000000" w:rsidRPr="00000000">
        <w:rPr>
          <w:b w:val="1"/>
          <w:color w:val="37352f"/>
          <w:highlight w:val="white"/>
          <w:rtl w:val="0"/>
        </w:rPr>
        <w:t xml:space="preserve">EIN Completion: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color w:val="37352f"/>
          <w:highlight w:val="white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/ASN (Assumed Name) </w:t>
      </w:r>
      <w:r w:rsidDel="00000000" w:rsidR="00000000" w:rsidRPr="00000000">
        <w:rPr>
          <w:b w:val="1"/>
          <w:rtl w:val="0"/>
        </w:rPr>
        <w:t xml:space="preserve">You need this in KY for your LLC if your MedSpa name is different from your LLC name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*DBA </w:t>
      </w:r>
      <w:r w:rsidDel="00000000" w:rsidR="00000000" w:rsidRPr="00000000">
        <w:rPr>
          <w:b w:val="1"/>
          <w:i w:val="1"/>
          <w:rtl w:val="0"/>
        </w:rPr>
        <w:t xml:space="preserve">must also be filed under the PC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1. Complete the online filing process: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Certificate of Assumed Name Application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2. Send the completed form to the county clerk where your business is located.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3"/>
          <w:numId w:val="5"/>
        </w:numPr>
        <w:ind w:left="2880" w:hanging="360"/>
      </w:pPr>
      <w:r w:rsidDel="00000000" w:rsidR="00000000" w:rsidRPr="00000000">
        <w:rPr>
          <w:rtl w:val="0"/>
        </w:rPr>
        <w:t xml:space="preserve">LLC Name = your MSO name</w:t>
      </w:r>
    </w:p>
    <w:p w:rsidR="00000000" w:rsidDel="00000000" w:rsidP="00000000" w:rsidRDefault="00000000" w:rsidRPr="00000000" w14:paraId="00000010">
      <w:pPr>
        <w:numPr>
          <w:ilvl w:val="3"/>
          <w:numId w:val="5"/>
        </w:numPr>
        <w:ind w:left="2880" w:hanging="360"/>
      </w:pPr>
      <w:r w:rsidDel="00000000" w:rsidR="00000000" w:rsidRPr="00000000">
        <w:rPr>
          <w:rtl w:val="0"/>
        </w:rPr>
        <w:t xml:space="preserve">Corporation Filing = Moxie Medical Hub PC</w:t>
      </w:r>
    </w:p>
    <w:p w:rsidR="00000000" w:rsidDel="00000000" w:rsidP="00000000" w:rsidRDefault="00000000" w:rsidRPr="00000000" w14:paraId="00000011">
      <w:pPr>
        <w:numPr>
          <w:ilvl w:val="3"/>
          <w:numId w:val="5"/>
        </w:numPr>
        <w:spacing w:after="0" w:afterAutospacing="0"/>
        <w:ind w:left="288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“Aesthetics” “Botox” or “Moxie” in your DBA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Once completed, print and mail to: 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Division of Business Filings Business Filings P.O. Box 718, Frankfort, KY 40602 (502) 564-3490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Prescriptive Delegation &amp; Collaboration (NPs &amp; PAs)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Standard NP &lt;&gt; MD Collab agreement. Nothing to file with the state but please have a copy at your medspa.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Standard PA &lt;&gt; MD Collab agreement. Nothing to file with the state but please have a copy at your medspa.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Sales Tax (on retail products)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MSO State (MSO/PC structure):</w:t>
      </w:r>
      <w:r w:rsidDel="00000000" w:rsidR="00000000" w:rsidRPr="00000000">
        <w:rPr>
          <w:rtl w:val="0"/>
        </w:rPr>
        <w:t xml:space="preserve"> The PC owner is responsible for paying the state all sales tax owed from the retail you sell. We suggest quarterly collections.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after="0" w:afterAutospacing="0"/>
        <w:ind w:left="2160" w:hanging="360"/>
        <w:rPr/>
      </w:pPr>
      <w:r w:rsidDel="00000000" w:rsidR="00000000" w:rsidRPr="00000000">
        <w:rPr>
          <w:b w:val="1"/>
          <w:rtl w:val="0"/>
        </w:rPr>
        <w:t xml:space="preserve">**If under Moxie PC,</w:t>
      </w:r>
      <w:r w:rsidDel="00000000" w:rsidR="00000000" w:rsidRPr="00000000">
        <w:rPr>
          <w:rtl w:val="0"/>
        </w:rPr>
        <w:t xml:space="preserve"> Moxie pays the states but will collect quarterly through a standard Moxie invoice. Do NOT create a sales tax account, this will cause state issues. Moxie will update your Sales Tax rate on retail products when they are added to your Moxie Suite.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what is required when it comes to rules of disposal.</w:t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numPr>
          <w:ilvl w:val="1"/>
          <w:numId w:val="3"/>
        </w:numPr>
        <w:shd w:fill="ffffff" w:val="clear"/>
        <w:spacing w:after="0" w:afterAutospacing="0" w:before="0" w:line="288" w:lineRule="auto"/>
        <w:ind w:left="1440" w:hanging="360"/>
        <w:rPr>
          <w:color w:val="212529"/>
          <w:sz w:val="22"/>
          <w:szCs w:val="22"/>
        </w:rPr>
      </w:pPr>
      <w:bookmarkStart w:colFirst="0" w:colLast="0" w:name="_fzh3cfoqtb3y" w:id="0"/>
      <w:bookmarkEnd w:id="0"/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Disposing of Sharps, Syringes, and Other Related Waste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212529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Active Medical Waste Facilities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highlight w:val="white"/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or purchase the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KY labor law poster state and federal combo </w:t>
        </w:r>
      </w:hyperlink>
      <w:r w:rsidDel="00000000" w:rsidR="00000000" w:rsidRPr="00000000">
        <w:rPr>
          <w:rtl w:val="0"/>
        </w:rPr>
        <w:t xml:space="preserve">for employee and customer visibility and hang in the breakroom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Post a discrimination law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Certificate of Occupancy (if applicable):</w:t>
      </w:r>
      <w:r w:rsidDel="00000000" w:rsidR="00000000" w:rsidRPr="00000000">
        <w:rPr>
          <w:rtl w:val="0"/>
        </w:rPr>
        <w:t xml:space="preserve"> This is required when you are completing a buildout. Please request this from your landlord.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privacy.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Kentucky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Kentucky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Kentucky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</w:t>
      </w: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tceq.texas.gov/downloads/permitting/waste-permits/publications/gi-612-active-medical-waste-facilities.pdf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tceq.texas.gov/permitting/waste_permits/msw_permits/medwaste/medwaste-sharpspharm" TargetMode="External"/><Relationship Id="rId21" Type="http://schemas.openxmlformats.org/officeDocument/2006/relationships/header" Target="header2.xml"/><Relationship Id="rId13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2" Type="http://schemas.openxmlformats.org/officeDocument/2006/relationships/hyperlink" Target="https://americanmedspa.org/blog/osha-what-you-dont-know-can-hurt-yo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ierra.ramos@vouch.us" TargetMode="External"/><Relationship Id="rId15" Type="http://schemas.openxmlformats.org/officeDocument/2006/relationships/hyperlink" Target="https://www.osha.gov/sites/default/files/osha3165-8514.pdf" TargetMode="External"/><Relationship Id="rId14" Type="http://schemas.openxmlformats.org/officeDocument/2006/relationships/hyperlink" Target="https://www.osha.gov/sites/default/files/osha3165-8514.pdf" TargetMode="External"/><Relationship Id="rId17" Type="http://schemas.openxmlformats.org/officeDocument/2006/relationships/hyperlink" Target="https://www.dol.gov/sites/dolgov/files/OFCCP/regs/compliance/posters/pdf/22-088_EEOC_KnowYourRights.pdf" TargetMode="External"/><Relationship Id="rId16" Type="http://schemas.openxmlformats.org/officeDocument/2006/relationships/hyperlink" Target="https://www.laborlawcenter.com/kentucky-labor-law-posters?utm_source=google&amp;utm_medium=cpc&amp;utm_campaign=992093022&amp;gad_source=1&amp;gclid=Cj0KCQjwq_G1BhCSARIsACc7NxoVdwA0sdHI6VanNIiSUsj2sAefHUgQ1fM00yUfxaBKGNdQQL_x3qIaAudQEALw_wcB&amp;gclsrc=aw.ds" TargetMode="External"/><Relationship Id="rId5" Type="http://schemas.openxmlformats.org/officeDocument/2006/relationships/styles" Target="styles.xml"/><Relationship Id="rId19" Type="http://schemas.openxmlformats.org/officeDocument/2006/relationships/hyperlink" Target="https://kbn.ky.gov/Pages/index.aspx" TargetMode="External"/><Relationship Id="rId6" Type="http://schemas.openxmlformats.org/officeDocument/2006/relationships/hyperlink" Target="https://web.sos.ky.gov/FastTrack/(S(qt2qjnzbmki13mtbcsqzi2ap))/FileLLC.aspx" TargetMode="External"/><Relationship Id="rId18" Type="http://schemas.openxmlformats.org/officeDocument/2006/relationships/hyperlink" Target="https://kbml.ky.gov/Pages/index.aspx" TargetMode="External"/><Relationship Id="rId7" Type="http://schemas.openxmlformats.org/officeDocument/2006/relationships/hyperlink" Target="https://www.irs.gov/businesses/small-businesses-self-employed/apply-for-an-employer-identification-number-ein-online" TargetMode="External"/><Relationship Id="rId8" Type="http://schemas.openxmlformats.org/officeDocument/2006/relationships/hyperlink" Target="https://web.sos.ky.gov/forms/corp/ASN-Certificate%20of%20Assumed%20Name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