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MICHIGAN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Michigan.</w:t>
      </w:r>
    </w:p>
    <w:p w:rsidR="00000000" w:rsidDel="00000000" w:rsidP="00000000" w:rsidRDefault="00000000" w:rsidRPr="00000000" w14:paraId="0000000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Business Type (if asked) Medical Aesthetic Services or Personal Care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Choose “700 - articles of organization”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“Aesthetics” in your LLC name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color w:val="37352f"/>
          <w:rtl w:val="0"/>
        </w:rPr>
        <w:t xml:space="preserve">Why LLC? This is because this entity will be acting as a non-healthcare manager of the PC. Consult with your accountant on individual tax objectives.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color w:val="37352f"/>
          <w:u w:val="none"/>
        </w:rPr>
      </w:pPr>
      <w:r w:rsidDel="00000000" w:rsidR="00000000" w:rsidRPr="00000000">
        <w:rPr>
          <w:color w:val="37352f"/>
          <w:rtl w:val="0"/>
        </w:rPr>
        <w:t xml:space="preserve">Since a DBA is required, make sure your LLC name is different from what you plan to “do business as”. </w:t>
      </w:r>
      <w:r w:rsidDel="00000000" w:rsidR="00000000" w:rsidRPr="00000000">
        <w:rPr>
          <w:i w:val="1"/>
          <w:color w:val="37352f"/>
          <w:rtl w:val="0"/>
        </w:rPr>
        <w:t xml:space="preserve">Example: LLC “Moxie LLC” // DBA “Moxie Aesthetics”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 (assumed business </w:t>
      </w: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b w:val="1"/>
          <w:rtl w:val="0"/>
        </w:rPr>
        <w:t xml:space="preserve">*Must be filed under PC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1. Complete the online filing process: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click here to start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LLC Name = your MSO name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Corporation Filing = Moxie PC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“Aesthetics” in your DBA name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Prescriptive Delegation &amp; Collaboration Requirements (NPs &amp; PAs)</w:t>
      </w:r>
      <w:r w:rsidDel="00000000" w:rsidR="00000000" w:rsidRPr="00000000">
        <w:rPr>
          <w:rtl w:val="0"/>
        </w:rPr>
        <w:t xml:space="preserve">: No online prescriptive delegation is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NP Physician Agreement must be mailed and filed with the 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Complete this form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Print and mail with the following: </w:t>
      </w:r>
    </w:p>
    <w:p w:rsidR="00000000" w:rsidDel="00000000" w:rsidP="00000000" w:rsidRDefault="00000000" w:rsidRPr="00000000" w14:paraId="00000016">
      <w:pPr>
        <w:numPr>
          <w:ilvl w:val="4"/>
          <w:numId w:val="2"/>
        </w:numPr>
        <w:spacing w:after="0" w:afterAutospacing="0" w:before="0" w:beforeAutospacing="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Current state registered nurse licnese </w:t>
      </w:r>
    </w:p>
    <w:p w:rsidR="00000000" w:rsidDel="00000000" w:rsidP="00000000" w:rsidRDefault="00000000" w:rsidRPr="00000000" w14:paraId="00000017">
      <w:pPr>
        <w:numPr>
          <w:ilvl w:val="4"/>
          <w:numId w:val="2"/>
        </w:numPr>
        <w:spacing w:after="0" w:afterAutospacing="0" w:before="0" w:beforeAutospacing="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Proof of state NP certification </w:t>
      </w:r>
    </w:p>
    <w:p w:rsidR="00000000" w:rsidDel="00000000" w:rsidP="00000000" w:rsidRDefault="00000000" w:rsidRPr="00000000" w14:paraId="00000018">
      <w:pPr>
        <w:numPr>
          <w:ilvl w:val="4"/>
          <w:numId w:val="2"/>
        </w:numPr>
        <w:spacing w:after="0" w:afterAutospacing="0" w:before="0" w:beforeAutospacing="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Proof of certification by the appropriate national credentialing entity 3. </w:t>
      </w:r>
    </w:p>
    <w:p w:rsidR="00000000" w:rsidDel="00000000" w:rsidP="00000000" w:rsidRDefault="00000000" w:rsidRPr="00000000" w14:paraId="00000019">
      <w:pPr>
        <w:numPr>
          <w:ilvl w:val="4"/>
          <w:numId w:val="2"/>
        </w:numPr>
        <w:spacing w:after="0" w:afterAutospacing="0" w:before="0" w:beforeAutospacing="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Mail all forms and copies above to the address listed on the form (bottom in bold)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PAs: </w:t>
      </w:r>
      <w:r w:rsidDel="00000000" w:rsidR="00000000" w:rsidRPr="00000000">
        <w:rPr>
          <w:rtl w:val="0"/>
        </w:rPr>
        <w:t xml:space="preserve">A written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practice agreement</w:t>
        </w:r>
      </w:hyperlink>
      <w:r w:rsidDel="00000000" w:rsidR="00000000" w:rsidRPr="00000000">
        <w:rPr>
          <w:rtl w:val="0"/>
        </w:rPr>
        <w:t xml:space="preserve"> completed by you and your MD is </w:t>
      </w:r>
      <w:r w:rsidDel="00000000" w:rsidR="00000000" w:rsidRPr="00000000">
        <w:rPr>
          <w:rtl w:val="0"/>
        </w:rPr>
        <w:t xml:space="preserve">required</w:t>
      </w:r>
      <w:r w:rsidDel="00000000" w:rsidR="00000000" w:rsidRPr="00000000">
        <w:rPr>
          <w:rtl w:val="0"/>
        </w:rPr>
        <w:t xml:space="preserve"> to have at your facility.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Sales Tax (on retail products)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MSO State (MSO/PC structure):</w:t>
      </w:r>
      <w:r w:rsidDel="00000000" w:rsidR="00000000" w:rsidRPr="00000000">
        <w:rPr>
          <w:rtl w:val="0"/>
        </w:rPr>
        <w:t xml:space="preserve"> The PC owner is responsible for paying the state all sales tax owed from the retail you sell. We suggest quarterly collection.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**If under Moxie PC,</w:t>
      </w:r>
      <w:r w:rsidDel="00000000" w:rsidR="00000000" w:rsidRPr="00000000">
        <w:rPr>
          <w:rtl w:val="0"/>
        </w:rPr>
        <w:t xml:space="preserve"> Moxie pays the states but will collect quarterly through a standard Moxie invoice. Do NOT create a sales tax account, this will cause state issues. Moxie will update your Sales Tax rate on retail products when they are added to your Moxie Suite.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after="0" w:afterAutospacing="0"/>
        <w:ind w:left="2160" w:hanging="360"/>
      </w:pPr>
      <w:r w:rsidDel="00000000" w:rsidR="00000000" w:rsidRPr="00000000">
        <w:rPr>
          <w:b w:val="1"/>
          <w:rtl w:val="0"/>
        </w:rPr>
        <w:t xml:space="preserve">Non-MSO State (no PC):</w:t>
      </w:r>
      <w:r w:rsidDel="00000000" w:rsidR="00000000" w:rsidRPr="00000000">
        <w:rPr>
          <w:rtl w:val="0"/>
        </w:rPr>
        <w:t xml:space="preserve"> The MSO (you as the Medspa Owner) are responsible for paying sales tax on retail products. Please work with the state to create a sales use tax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Sharps or syringes are not considered household hazardous waste and should be disposed of with regular trash pick up. Sharps should be placed in a puncture-resistant hard plastic or metal container.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Close the container with its original lid and secure with heavy duty tape. Place the tightly sealed container in a paper bag and discard it with your household trash. Do not place it with your recyclables.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a copy of any business and nursing license is posted in your MedSpa (we recommend in a hall on the way to the treatment room or where other notices are posted)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MI Labor Law Poster</w:t>
        </w:r>
      </w:hyperlink>
      <w:r w:rsidDel="00000000" w:rsidR="00000000" w:rsidRPr="00000000">
        <w:rPr>
          <w:rtl w:val="0"/>
        </w:rPr>
        <w:t xml:space="preserve">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a discrimination law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privacy.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Michigan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Michigan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Michigan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americanmedspa.org/blog/osha-what-you-dont-know-can-hurt-you" TargetMode="External"/><Relationship Id="rId10" Type="http://schemas.openxmlformats.org/officeDocument/2006/relationships/hyperlink" Target="mailto:cierra.ramos@vouch.us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osha.gov/sites/default/files/osha3165-8514.pdf" TargetMode="External"/><Relationship Id="rId12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dn.ymaws.com/www.michiganpa.org/resource/resmgr/pdf/Model_PA_Practice_Agreement_.pdf" TargetMode="External"/><Relationship Id="rId15" Type="http://schemas.openxmlformats.org/officeDocument/2006/relationships/hyperlink" Target="https://www.laborlawcc.com/michigan-labor-law-posters-state-and-federal-combo/" TargetMode="External"/><Relationship Id="rId14" Type="http://schemas.openxmlformats.org/officeDocument/2006/relationships/hyperlink" Target="https://www.osha.gov/sites/default/files/osha3165-8514.pdf" TargetMode="External"/><Relationship Id="rId17" Type="http://schemas.openxmlformats.org/officeDocument/2006/relationships/hyperlink" Target="https://www.michigan.gov/lara/bureau-list/bpl/health/hp-lic-health-prof/medical" TargetMode="External"/><Relationship Id="rId16" Type="http://schemas.openxmlformats.org/officeDocument/2006/relationships/hyperlink" Target="https://www.dol.gov/sites/dolgov/files/OFCCP/regs/compliance/posters/pdf/22-088_EEOC_KnowYourRights.pdf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cofs.lara.state.mi.us/corpweb/LoginSystem/ListNewFilings.aspx" TargetMode="External"/><Relationship Id="rId18" Type="http://schemas.openxmlformats.org/officeDocument/2006/relationships/hyperlink" Target="https://www.michigan.gov/lara/bureau-list/bpl/health/hp-lic-health-prof/nursing" TargetMode="External"/><Relationship Id="rId7" Type="http://schemas.openxmlformats.org/officeDocument/2006/relationships/hyperlink" Target="https://cofs.lara.state.mi.us/corpweb/LoginSystem/ExternalLogin.aspx" TargetMode="External"/><Relationship Id="rId8" Type="http://schemas.openxmlformats.org/officeDocument/2006/relationships/hyperlink" Target="https://www.michigan.gov/-/media/Project/Websites/mdhhs/Folder1/Folder70/Dch-1575-Nurse_Practitioner-Physician_Agreement-08-07.pdf?rev=75dfd38cc5564267864081c36af5b58a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