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MINNESOTA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MSO: </w:t>
      </w:r>
      <w:r w:rsidDel="00000000" w:rsidR="00000000" w:rsidRPr="00000000">
        <w:rPr>
          <w:highlight w:val="white"/>
          <w:rtl w:val="0"/>
        </w:rPr>
        <w:t xml:space="preserve">MSO/PC structure required. Please talk to your onboarding manager about Moxie Medical Hub PC.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Legal Entity:</w:t>
      </w:r>
      <w:r w:rsidDel="00000000" w:rsidR="00000000" w:rsidRPr="00000000">
        <w:rPr>
          <w:highlight w:val="white"/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>
          <w:highlight w:val="white"/>
        </w:rPr>
      </w:pPr>
      <w:hyperlink r:id="rId6">
        <w:r w:rsidDel="00000000" w:rsidR="00000000" w:rsidRPr="00000000">
          <w:rPr>
            <w:highlight w:val="white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highlight w:val="white"/>
          <w:rtl w:val="0"/>
        </w:rPr>
        <w:t xml:space="preserve"> to set up your entity. LLC is the most common in Minnesota.</w:t>
      </w:r>
    </w:p>
    <w:p w:rsidR="00000000" w:rsidDel="00000000" w:rsidP="00000000" w:rsidRDefault="00000000" w:rsidRPr="00000000" w14:paraId="00000009">
      <w:pPr>
        <w:numPr>
          <w:ilvl w:val="2"/>
          <w:numId w:val="3"/>
        </w:numPr>
        <w:ind w:left="216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Business Type (if asked) “Medical Aesthetic Services”</w:t>
      </w:r>
    </w:p>
    <w:p w:rsidR="00000000" w:rsidDel="00000000" w:rsidP="00000000" w:rsidRDefault="00000000" w:rsidRPr="00000000" w14:paraId="0000000A">
      <w:pPr>
        <w:numPr>
          <w:ilvl w:val="2"/>
          <w:numId w:val="3"/>
        </w:numPr>
        <w:ind w:left="216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Once ready click “create an account” to finalize your LLC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Why LLC? This is because this entity will be acting as a non-healthcare manager of the PC. Consult with your accountant on individual tax objectives.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EIN Completion:</w:t>
      </w:r>
      <w:hyperlink r:id="rId7">
        <w:r w:rsidDel="00000000" w:rsidR="00000000" w:rsidRPr="00000000">
          <w:rPr>
            <w:highlight w:val="white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highlight w:val="white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DBA: </w:t>
      </w:r>
      <w:hyperlink r:id="rId8">
        <w:r w:rsidDel="00000000" w:rsidR="00000000" w:rsidRPr="00000000">
          <w:rPr>
            <w:highlight w:val="white"/>
            <w:u w:val="single"/>
            <w:rtl w:val="0"/>
          </w:rPr>
          <w:t xml:space="preserve">File for your DBA</w:t>
        </w:r>
      </w:hyperlink>
      <w:r w:rsidDel="00000000" w:rsidR="00000000" w:rsidRPr="00000000">
        <w:rPr>
          <w:highlight w:val="white"/>
          <w:rtl w:val="0"/>
        </w:rPr>
        <w:t xml:space="preserve"> (assumed business </w:t>
      </w:r>
      <w:r w:rsidDel="00000000" w:rsidR="00000000" w:rsidRPr="00000000">
        <w:rPr>
          <w:highlight w:val="white"/>
          <w:rtl w:val="0"/>
        </w:rPr>
        <w:t xml:space="preserve">name</w:t>
      </w:r>
      <w:r w:rsidDel="00000000" w:rsidR="00000000" w:rsidRPr="00000000">
        <w:rPr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You </w:t>
      </w:r>
      <w:r w:rsidDel="00000000" w:rsidR="00000000" w:rsidRPr="00000000">
        <w:rPr>
          <w:b w:val="1"/>
          <w:highlight w:val="white"/>
          <w:rtl w:val="0"/>
        </w:rPr>
        <w:t xml:space="preserve">need this in MN if your MedSpa name is different from your LLC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You do NOT need one under Moxie PC (DBA form does not ask for PC info, just LLC)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If needed: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highlight w:val="white"/>
            <w:u w:val="single"/>
            <w:rtl w:val="0"/>
          </w:rPr>
          <w:t xml:space="preserve">Complete this form</w:t>
        </w:r>
      </w:hyperlink>
      <w:r w:rsidDel="00000000" w:rsidR="00000000" w:rsidRPr="00000000">
        <w:rPr>
          <w:highlight w:val="white"/>
          <w:rtl w:val="0"/>
        </w:rPr>
        <w:t xml:space="preserve"> and mail in or you can scroll down to page 4 where we’ll find the</w:t>
      </w:r>
      <w:hyperlink r:id="rId10">
        <w:r w:rsidDel="00000000" w:rsidR="00000000" w:rsidRPr="00000000">
          <w:rPr>
            <w:highlight w:val="white"/>
            <w:u w:val="single"/>
            <w:rtl w:val="0"/>
          </w:rPr>
          <w:t xml:space="preserve"> online system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Prescriptive Delegation &amp; Collaboration (NPs &amp; </w:t>
      </w:r>
      <w:r w:rsidDel="00000000" w:rsidR="00000000" w:rsidRPr="00000000">
        <w:rPr>
          <w:b w:val="1"/>
          <w:highlight w:val="white"/>
          <w:rtl w:val="0"/>
        </w:rPr>
        <w:t xml:space="preserve">PAs</w:t>
      </w:r>
      <w:r w:rsidDel="00000000" w:rsidR="00000000" w:rsidRPr="00000000">
        <w:rPr>
          <w:b w:val="1"/>
          <w:highlight w:val="white"/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NPs:</w:t>
      </w:r>
      <w:r w:rsidDel="00000000" w:rsidR="00000000" w:rsidRPr="00000000">
        <w:rPr>
          <w:highlight w:val="white"/>
          <w:rtl w:val="0"/>
        </w:rPr>
        <w:t xml:space="preserve"> Standard NP &lt;&gt; MD Collab agreement. Nothing to file with the state but please have a copy at your medspa.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PAs:</w:t>
      </w:r>
      <w:r w:rsidDel="00000000" w:rsidR="00000000" w:rsidRPr="00000000">
        <w:rPr>
          <w:highlight w:val="white"/>
          <w:rtl w:val="0"/>
        </w:rPr>
        <w:t xml:space="preserve"> Standard PA &lt;&gt; MD Collab agreement. Nothing to file with the state but please have a copy at your medspa.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DBA Publishing Notice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Minnesota requires you to publish notice of your statement in a local newspaper.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We recommend contacting your county to check if this is a requirement and if so, please complete this per the instructions given.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After publication, the newspaper will return an affidavit of publication and the newspaper ad which should be retained by the Assumed Name Applicant with the Certificate of Assumed Name</w:t>
      </w:r>
    </w:p>
    <w:p w:rsidR="00000000" w:rsidDel="00000000" w:rsidP="00000000" w:rsidRDefault="00000000" w:rsidRPr="00000000" w14:paraId="00000018">
      <w:pPr>
        <w:spacing w:after="240" w:before="240" w:lineRule="auto"/>
        <w:ind w:left="144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Sales Tax (on retail products)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MSO State (MSO/PC structure):</w:t>
      </w:r>
      <w:r w:rsidDel="00000000" w:rsidR="00000000" w:rsidRPr="00000000">
        <w:rPr>
          <w:highlight w:val="white"/>
          <w:rtl w:val="0"/>
        </w:rPr>
        <w:t xml:space="preserve"> The PC owner is responsible for paying the state all sales tax owed from the retail you sell. We suggest quarterly collection.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ind w:left="216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**If under Moxie PC,</w:t>
      </w:r>
      <w:r w:rsidDel="00000000" w:rsidR="00000000" w:rsidRPr="00000000">
        <w:rPr>
          <w:highlight w:val="white"/>
          <w:rtl w:val="0"/>
        </w:rPr>
        <w:t xml:space="preserve"> Moxie pays the states but will collect quarterly through a standard Moxie invoice. Do NOT create a sales tax account, this will cause state issues. Moxie will update your Sales Tax rate on retail products when they are added to your Moxie Suite.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spacing w:after="0" w:afterAutospacing="0"/>
        <w:ind w:left="216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Non-MSO State (no PC):</w:t>
      </w:r>
      <w:r w:rsidDel="00000000" w:rsidR="00000000" w:rsidRPr="00000000">
        <w:rPr>
          <w:highlight w:val="white"/>
          <w:rtl w:val="0"/>
        </w:rPr>
        <w:t xml:space="preserve"> The MSO (you as the Medspa Owner) are responsible for paying sales tax on retail products. Please work with the state to create a sales use tax account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Insurance: </w:t>
      </w:r>
      <w:r w:rsidDel="00000000" w:rsidR="00000000" w:rsidRPr="00000000">
        <w:rPr>
          <w:highlight w:val="white"/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1">
        <w:r w:rsidDel="00000000" w:rsidR="00000000" w:rsidRPr="00000000">
          <w:rPr>
            <w:highlight w:val="white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Medical Waste</w:t>
      </w:r>
      <w:r w:rsidDel="00000000" w:rsidR="00000000" w:rsidRPr="00000000">
        <w:rPr>
          <w:highlight w:val="white"/>
          <w:rtl w:val="0"/>
        </w:rPr>
        <w:t xml:space="preserve">: </w:t>
      </w:r>
      <w:r w:rsidDel="00000000" w:rsidR="00000000" w:rsidRPr="00000000">
        <w:rPr>
          <w:highlight w:val="white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Place all needles and syringes in a secured puncture proof plastic container with a screw-on lid (for example: a rigid detergent, bleach or fabric softener bottle). Clearly label the container "Non-Recyclable" and dispose of it in your trash container.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OSHA: </w:t>
      </w:r>
      <w:r w:rsidDel="00000000" w:rsidR="00000000" w:rsidRPr="00000000">
        <w:rPr>
          <w:highlight w:val="white"/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b w:val="1"/>
          <w:highlight w:val="white"/>
        </w:rPr>
      </w:pPr>
      <w:hyperlink r:id="rId12">
        <w:r w:rsidDel="00000000" w:rsidR="00000000" w:rsidRPr="00000000">
          <w:rPr>
            <w:highlight w:val="white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hyperlink r:id="rId13">
        <w:r w:rsidDel="00000000" w:rsidR="00000000" w:rsidRPr="00000000">
          <w:rPr>
            <w:highlight w:val="white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highlight w:val="white"/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If you have employees: Print out the</w:t>
      </w:r>
      <w:hyperlink r:id="rId14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15">
        <w:r w:rsidDel="00000000" w:rsidR="00000000" w:rsidRPr="00000000">
          <w:rPr>
            <w:highlight w:val="white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highlight w:val="white"/>
          <w:rtl w:val="0"/>
        </w:rPr>
        <w:t xml:space="preserve"> for your MedSpa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If you have employees: </w:t>
      </w:r>
      <w:r w:rsidDel="00000000" w:rsidR="00000000" w:rsidRPr="00000000">
        <w:rPr>
          <w:highlight w:val="white"/>
          <w:rtl w:val="0"/>
        </w:rPr>
        <w:t xml:space="preserve">Print out the </w:t>
      </w:r>
      <w:hyperlink r:id="rId16">
        <w:r w:rsidDel="00000000" w:rsidR="00000000" w:rsidRPr="00000000">
          <w:rPr>
            <w:highlight w:val="white"/>
            <w:u w:val="single"/>
            <w:rtl w:val="0"/>
          </w:rPr>
          <w:t xml:space="preserve">MN labor law poster </w:t>
        </w:r>
      </w:hyperlink>
      <w:r w:rsidDel="00000000" w:rsidR="00000000" w:rsidRPr="00000000">
        <w:rPr>
          <w:highlight w:val="white"/>
          <w:rtl w:val="0"/>
        </w:rPr>
        <w:t xml:space="preserve">for employee and customer visibility </w:t>
      </w:r>
      <w:r w:rsidDel="00000000" w:rsidR="00000000" w:rsidRPr="00000000">
        <w:rPr>
          <w:highlight w:val="white"/>
          <w:rtl w:val="0"/>
        </w:rPr>
        <w:t xml:space="preserve">and hang in your breakroom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Post a discrimination law</w:t>
      </w:r>
      <w:hyperlink r:id="rId17">
        <w:r w:rsidDel="00000000" w:rsidR="00000000" w:rsidRPr="00000000">
          <w:rPr>
            <w:highlight w:val="white"/>
            <w:u w:val="single"/>
            <w:rtl w:val="0"/>
          </w:rPr>
          <w:t xml:space="preserve"> sign </w:t>
        </w:r>
      </w:hyperlink>
      <w:r w:rsidDel="00000000" w:rsidR="00000000" w:rsidRPr="00000000">
        <w:rPr>
          <w:highlight w:val="white"/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Weight Loss Service Requirements (if planning to offer weight loss) please note: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Baseline body mass index (BMI) must be: Greater than or equal to 30 kg/m2 with no risk factors (for patient at least 18 years of age)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 Greater than or equal to 27 kg/m2 with at least one weight-related comorbid condition (e.g. hypertension, type 2 diabetes mellitus, or dyslipidemia) (for patient at least 18 years of age)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 Greater than or equal to 30 kg/m2 and body weight above 60 kg (for patient 12 to 17 years of age)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Do not have any needles in any of your pictures. The </w:t>
      </w:r>
      <w:r w:rsidDel="00000000" w:rsidR="00000000" w:rsidRPr="00000000">
        <w:rPr>
          <w:highlight w:val="white"/>
          <w:rtl w:val="0"/>
        </w:rPr>
        <w:t xml:space="preserve">Meta</w:t>
      </w:r>
      <w:r w:rsidDel="00000000" w:rsidR="00000000" w:rsidRPr="00000000">
        <w:rPr>
          <w:highlight w:val="white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Never </w:t>
      </w:r>
      <w:r w:rsidDel="00000000" w:rsidR="00000000" w:rsidRPr="00000000">
        <w:rPr>
          <w:highlight w:val="white"/>
          <w:rtl w:val="0"/>
        </w:rPr>
        <w:t xml:space="preserve">‘boost’</w:t>
      </w:r>
      <w:r w:rsidDel="00000000" w:rsidR="00000000" w:rsidRPr="00000000">
        <w:rPr>
          <w:highlight w:val="white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Be sure to have signed photo waivers that allow you to use patient pictures for marketing that includes language around the patient waiving privacy (provided in Moxie Suite)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Physician name needs to be listed in ads with “MD,DO” for Medical/RX ads only.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Minnesota</w:t>
      </w:r>
      <w:r w:rsidDel="00000000" w:rsidR="00000000" w:rsidRPr="00000000">
        <w:rPr>
          <w:b w:val="1"/>
          <w:highlight w:val="white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Medical Board of Minnesota </w:t>
      </w:r>
      <w:hyperlink r:id="rId18">
        <w:r w:rsidDel="00000000" w:rsidR="00000000" w:rsidRPr="00000000">
          <w:rPr>
            <w:highlight w:val="white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Nursing Board of Minnesota </w:t>
      </w:r>
      <w:hyperlink r:id="rId19">
        <w:r w:rsidDel="00000000" w:rsidR="00000000" w:rsidRPr="00000000">
          <w:rPr>
            <w:highlight w:val="white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highlight w:val="white"/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mailto:cierra.ramos@vouch.us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sos.mn.gov/" TargetMode="External"/><Relationship Id="rId21" Type="http://schemas.openxmlformats.org/officeDocument/2006/relationships/header" Target="header2.xml"/><Relationship Id="rId13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2" Type="http://schemas.openxmlformats.org/officeDocument/2006/relationships/hyperlink" Target="https://americanmedspa.org/blog/osha-what-you-dont-know-can-hurt-yo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s.state.mn.us/media/1373/assumednameregistration.pdf" TargetMode="External"/><Relationship Id="rId15" Type="http://schemas.openxmlformats.org/officeDocument/2006/relationships/hyperlink" Target="https://www.osha.gov/sites/default/files/osha3165-8514.pdf" TargetMode="External"/><Relationship Id="rId14" Type="http://schemas.openxmlformats.org/officeDocument/2006/relationships/hyperlink" Target="https://www.osha.gov/sites/default/files/osha3165-8514.pdf" TargetMode="External"/><Relationship Id="rId17" Type="http://schemas.openxmlformats.org/officeDocument/2006/relationships/hyperlink" Target="https://www.dol.gov/sites/dolgov/files/OFCCP/regs/compliance/posters/pdf/22-088_EEOC_KnowYourRights.pdf" TargetMode="External"/><Relationship Id="rId16" Type="http://schemas.openxmlformats.org/officeDocument/2006/relationships/hyperlink" Target="https://www.laborlawcc.com/minnesota-state-labor-law-posters/" TargetMode="External"/><Relationship Id="rId5" Type="http://schemas.openxmlformats.org/officeDocument/2006/relationships/styles" Target="styles.xml"/><Relationship Id="rId19" Type="http://schemas.openxmlformats.org/officeDocument/2006/relationships/hyperlink" Target="https://mn.gov/boards/nursing/" TargetMode="External"/><Relationship Id="rId6" Type="http://schemas.openxmlformats.org/officeDocument/2006/relationships/hyperlink" Target="https://mblsportal.sos.state.mn.us/Business/Search" TargetMode="External"/><Relationship Id="rId18" Type="http://schemas.openxmlformats.org/officeDocument/2006/relationships/hyperlink" Target="https://mn.gov/boards/medical-practice/" TargetMode="External"/><Relationship Id="rId7" Type="http://schemas.openxmlformats.org/officeDocument/2006/relationships/hyperlink" Target="https://www.irs.gov/businesses/small-businesses-self-employed/apply-for-an-employer-identification-number-ein-online" TargetMode="External"/><Relationship Id="rId8" Type="http://schemas.openxmlformats.org/officeDocument/2006/relationships/hyperlink" Target="https://www.sos.mn.gov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